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400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</w:tblGrid>
      <w:tr w:rsidR="0041484E" w:rsidTr="00AD183A">
        <w:tc>
          <w:tcPr>
            <w:tcW w:w="4400" w:type="dxa"/>
          </w:tcPr>
          <w:p w:rsidR="0041484E" w:rsidRPr="00AD183A" w:rsidRDefault="0041484E" w:rsidP="0082606B">
            <w:pPr>
              <w:ind w:right="-285"/>
            </w:pPr>
            <w:r w:rsidRPr="00AD183A">
              <w:t>Приложение к решению</w:t>
            </w:r>
          </w:p>
          <w:p w:rsidR="0041484E" w:rsidRPr="00AD183A" w:rsidRDefault="0041484E" w:rsidP="0082606B">
            <w:pPr>
              <w:ind w:right="-285"/>
            </w:pPr>
            <w:r w:rsidRPr="00AD183A">
              <w:t>Совета городского округа город Салават Республики Башкортостан</w:t>
            </w:r>
          </w:p>
          <w:p w:rsidR="0041484E" w:rsidRPr="00AD183A" w:rsidRDefault="0041484E" w:rsidP="00AD183A">
            <w:pPr>
              <w:ind w:right="-285"/>
            </w:pPr>
            <w:r w:rsidRPr="00AD183A">
              <w:t xml:space="preserve">от </w:t>
            </w:r>
            <w:r w:rsidR="00AD183A" w:rsidRPr="00AD183A">
              <w:t xml:space="preserve">14 октября </w:t>
            </w:r>
            <w:r w:rsidRPr="00AD183A">
              <w:t>2021 г. №</w:t>
            </w:r>
            <w:r w:rsidR="00AD183A" w:rsidRPr="00AD183A">
              <w:t xml:space="preserve"> 5-14/160</w:t>
            </w:r>
          </w:p>
        </w:tc>
      </w:tr>
    </w:tbl>
    <w:p w:rsidR="0041484E" w:rsidRDefault="0041484E" w:rsidP="0041484E">
      <w:pPr>
        <w:ind w:left="5558" w:right="-285" w:firstLine="1"/>
        <w:jc w:val="right"/>
        <w:rPr>
          <w:sz w:val="28"/>
          <w:szCs w:val="28"/>
        </w:rPr>
      </w:pPr>
    </w:p>
    <w:p w:rsidR="0041484E" w:rsidRPr="00EF59D6" w:rsidRDefault="0041484E" w:rsidP="0041484E">
      <w:pPr>
        <w:ind w:left="5558" w:right="-285" w:firstLine="1"/>
        <w:jc w:val="right"/>
        <w:rPr>
          <w:sz w:val="28"/>
          <w:szCs w:val="28"/>
        </w:rPr>
      </w:pPr>
    </w:p>
    <w:p w:rsidR="0041484E" w:rsidRPr="006F5235" w:rsidRDefault="0041484E" w:rsidP="00AD183A">
      <w:pPr>
        <w:jc w:val="center"/>
        <w:rPr>
          <w:rStyle w:val="a3"/>
          <w:b/>
          <w:i w:val="0"/>
          <w:color w:val="000000"/>
          <w:sz w:val="28"/>
          <w:szCs w:val="28"/>
          <w:shd w:val="clear" w:color="auto" w:fill="FFFFFF"/>
        </w:rPr>
      </w:pPr>
      <w:r w:rsidRPr="006F5235">
        <w:rPr>
          <w:b/>
          <w:sz w:val="28"/>
          <w:szCs w:val="28"/>
          <w:lang w:val="ba-RU"/>
        </w:rPr>
        <w:t>О реализации муниципальной програм</w:t>
      </w:r>
      <w:r w:rsidRPr="006F5235">
        <w:rPr>
          <w:b/>
          <w:sz w:val="28"/>
          <w:szCs w:val="28"/>
        </w:rPr>
        <w:t>мы «Укрепление единства российской нации и этнокультурное развитие народов, проживающих в городском округе город Салават Республики Башкортостан»</w:t>
      </w:r>
      <w:r>
        <w:rPr>
          <w:b/>
          <w:sz w:val="28"/>
          <w:szCs w:val="28"/>
        </w:rPr>
        <w:t xml:space="preserve"> за 2021 год</w:t>
      </w:r>
    </w:p>
    <w:p w:rsidR="0041484E" w:rsidRDefault="0041484E" w:rsidP="0041484E">
      <w:pPr>
        <w:jc w:val="center"/>
        <w:rPr>
          <w:bCs/>
          <w:sz w:val="28"/>
          <w:szCs w:val="28"/>
        </w:rPr>
      </w:pP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Важную роль в решении задач по содействию укреплению </w:t>
      </w:r>
      <w:r w:rsidRPr="008131F3">
        <w:rPr>
          <w:bCs/>
          <w:sz w:val="28"/>
          <w:szCs w:val="28"/>
        </w:rPr>
        <w:t xml:space="preserve">гражданского единства и гармонизации межнациональных отношений играет 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</w:t>
      </w:r>
      <w:r w:rsidRPr="008131F3">
        <w:rPr>
          <w:sz w:val="28"/>
          <w:szCs w:val="28"/>
        </w:rPr>
        <w:t xml:space="preserve">народов Башкортостана, формирование в обществе атмосферы уважения к историческому наследию и культурным ценностям народов </w:t>
      </w:r>
      <w:r w:rsidRPr="008131F3">
        <w:rPr>
          <w:bCs/>
          <w:sz w:val="28"/>
          <w:szCs w:val="28"/>
        </w:rPr>
        <w:t xml:space="preserve">России, развитие культуры межнационального общения, основанной на толерантности, уважении чести и национального достоинства граждан, </w:t>
      </w:r>
      <w:r w:rsidRPr="008131F3">
        <w:rPr>
          <w:sz w:val="28"/>
          <w:szCs w:val="28"/>
        </w:rPr>
        <w:t>духовных и нравственных ценностей народов, проживающих на территории Республики Башкортостан.</w:t>
      </w: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Необходимо обеспечить сохранение и приумножение духовного и </w:t>
      </w:r>
      <w:r w:rsidRPr="008131F3">
        <w:rPr>
          <w:bCs/>
          <w:sz w:val="28"/>
          <w:szCs w:val="28"/>
        </w:rPr>
        <w:t xml:space="preserve">культурного потенциалов многонационального народа России на основе </w:t>
      </w:r>
      <w:r w:rsidRPr="008131F3">
        <w:rPr>
          <w:sz w:val="28"/>
          <w:szCs w:val="28"/>
        </w:rPr>
        <w:t xml:space="preserve">идей единства и дружбы народов, межнационального (межэтнического) </w:t>
      </w:r>
      <w:r w:rsidRPr="008131F3">
        <w:rPr>
          <w:bCs/>
          <w:sz w:val="28"/>
          <w:szCs w:val="28"/>
        </w:rPr>
        <w:t>согласия, патриотизма.</w:t>
      </w:r>
    </w:p>
    <w:p w:rsidR="0041484E" w:rsidRPr="008131F3" w:rsidRDefault="0041484E" w:rsidP="0041484E">
      <w:pPr>
        <w:ind w:firstLine="851"/>
        <w:contextualSpacing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В развитие духовности и куль</w:t>
      </w:r>
      <w:r>
        <w:rPr>
          <w:sz w:val="28"/>
          <w:szCs w:val="28"/>
        </w:rPr>
        <w:t>турного потенциала, формирование</w:t>
      </w:r>
      <w:r w:rsidRPr="008131F3">
        <w:rPr>
          <w:sz w:val="28"/>
          <w:szCs w:val="28"/>
        </w:rPr>
        <w:t xml:space="preserve"> межнационального общения значительный вклад вносят и общественные организации «Собор русских», «Курултай башкир», «Совет местной национальной культурной автономии татар» городского округа город Салават Республики Башкортостан, которые участвуют в воспитании и просвещении молодого поколения.</w:t>
      </w:r>
    </w:p>
    <w:p w:rsidR="0041484E" w:rsidRPr="008131F3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Городской округ выделяется устойчивостью межнациональных отношений, корни которых, с одной стороны, уходят в историю, с другой</w:t>
      </w:r>
      <w:r>
        <w:rPr>
          <w:sz w:val="28"/>
          <w:szCs w:val="28"/>
        </w:rPr>
        <w:t xml:space="preserve"> -</w:t>
      </w:r>
      <w:r w:rsidRPr="008131F3">
        <w:rPr>
          <w:sz w:val="28"/>
          <w:szCs w:val="28"/>
        </w:rPr>
        <w:t xml:space="preserve"> в стабильность в отношениях между народами, которая постоянно поддерживается политикой Администрации городского округа город Салават Респуб</w:t>
      </w:r>
      <w:r>
        <w:rPr>
          <w:sz w:val="28"/>
          <w:szCs w:val="28"/>
        </w:rPr>
        <w:t>лики Башкортостан. В ежегодных п</w:t>
      </w:r>
      <w:r w:rsidRPr="008131F3">
        <w:rPr>
          <w:sz w:val="28"/>
          <w:szCs w:val="28"/>
        </w:rPr>
        <w:t xml:space="preserve">осланиях Главы Республики Башкортостан непременно затрагиваются положения об укреплении общественного и межнационального согласия. </w:t>
      </w:r>
    </w:p>
    <w:p w:rsidR="0041484E" w:rsidRPr="008131F3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Для осуществления этой важной задачи в городском округе город Салават Республики Башкортостан функционирует развитая сеть учреждений культуры и искусства. 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Профессиональное искусство представлено творческими силами ГБОУ </w:t>
      </w:r>
      <w:proofErr w:type="spellStart"/>
      <w:r w:rsidRPr="008131F3">
        <w:rPr>
          <w:sz w:val="28"/>
          <w:szCs w:val="28"/>
        </w:rPr>
        <w:t>СПОКиИ</w:t>
      </w:r>
      <w:proofErr w:type="spellEnd"/>
      <w:r w:rsidRPr="008131F3">
        <w:rPr>
          <w:sz w:val="28"/>
          <w:szCs w:val="28"/>
        </w:rPr>
        <w:t xml:space="preserve"> «</w:t>
      </w:r>
      <w:proofErr w:type="spellStart"/>
      <w:r w:rsidRPr="008131F3">
        <w:rPr>
          <w:sz w:val="28"/>
          <w:szCs w:val="28"/>
        </w:rPr>
        <w:t>Салаватский</w:t>
      </w:r>
      <w:proofErr w:type="spellEnd"/>
      <w:r w:rsidRPr="008131F3">
        <w:rPr>
          <w:sz w:val="28"/>
          <w:szCs w:val="28"/>
        </w:rPr>
        <w:t xml:space="preserve"> Государственный башкирский драматический театр», ГБОУ </w:t>
      </w:r>
      <w:proofErr w:type="spellStart"/>
      <w:r w:rsidRPr="008131F3">
        <w:rPr>
          <w:sz w:val="28"/>
          <w:szCs w:val="28"/>
        </w:rPr>
        <w:t>СПОКиИ</w:t>
      </w:r>
      <w:proofErr w:type="spellEnd"/>
      <w:r w:rsidRPr="008131F3">
        <w:rPr>
          <w:sz w:val="28"/>
          <w:szCs w:val="28"/>
        </w:rPr>
        <w:t xml:space="preserve"> «</w:t>
      </w:r>
      <w:proofErr w:type="spellStart"/>
      <w:r w:rsidRPr="008131F3">
        <w:rPr>
          <w:sz w:val="28"/>
          <w:szCs w:val="28"/>
        </w:rPr>
        <w:t>Салаватский</w:t>
      </w:r>
      <w:proofErr w:type="spellEnd"/>
      <w:r w:rsidRPr="008131F3">
        <w:rPr>
          <w:sz w:val="28"/>
          <w:szCs w:val="28"/>
        </w:rPr>
        <w:t xml:space="preserve"> музыкальный колледж», МБУ ДО «ДМШ» ГО </w:t>
      </w:r>
      <w:proofErr w:type="spellStart"/>
      <w:r w:rsidRPr="008131F3">
        <w:rPr>
          <w:sz w:val="28"/>
          <w:szCs w:val="28"/>
        </w:rPr>
        <w:t>г.Салават</w:t>
      </w:r>
      <w:proofErr w:type="spellEnd"/>
      <w:r w:rsidRPr="008131F3">
        <w:rPr>
          <w:sz w:val="28"/>
          <w:szCs w:val="28"/>
        </w:rPr>
        <w:t xml:space="preserve"> РБ, МБУ ДО «ДХШ» ГО </w:t>
      </w:r>
      <w:proofErr w:type="spellStart"/>
      <w:r w:rsidRPr="008131F3">
        <w:rPr>
          <w:sz w:val="28"/>
          <w:szCs w:val="28"/>
        </w:rPr>
        <w:t>г.Салават</w:t>
      </w:r>
      <w:proofErr w:type="spellEnd"/>
      <w:r w:rsidRPr="008131F3">
        <w:rPr>
          <w:sz w:val="28"/>
          <w:szCs w:val="28"/>
        </w:rPr>
        <w:t xml:space="preserve"> РБ, которые проводят большую </w:t>
      </w:r>
      <w:r w:rsidRPr="008131F3">
        <w:rPr>
          <w:sz w:val="28"/>
          <w:szCs w:val="28"/>
        </w:rPr>
        <w:lastRenderedPageBreak/>
        <w:t>просветительскую деятельность среди подрастающего поколения и горожан. Работу по организации культурного досуга среди населения проводят дворцы (</w:t>
      </w:r>
      <w:proofErr w:type="spellStart"/>
      <w:r w:rsidRPr="008131F3">
        <w:rPr>
          <w:sz w:val="28"/>
          <w:szCs w:val="28"/>
        </w:rPr>
        <w:t>ЦДиТ</w:t>
      </w:r>
      <w:proofErr w:type="spellEnd"/>
      <w:r w:rsidRPr="008131F3">
        <w:rPr>
          <w:sz w:val="28"/>
          <w:szCs w:val="28"/>
        </w:rPr>
        <w:t xml:space="preserve"> «Нефтехимик», МУП КДЦ «</w:t>
      </w:r>
      <w:proofErr w:type="spellStart"/>
      <w:r w:rsidRPr="008131F3">
        <w:rPr>
          <w:sz w:val="28"/>
          <w:szCs w:val="28"/>
        </w:rPr>
        <w:t>Агидель</w:t>
      </w:r>
      <w:proofErr w:type="spellEnd"/>
      <w:r w:rsidRPr="008131F3">
        <w:rPr>
          <w:sz w:val="28"/>
          <w:szCs w:val="28"/>
        </w:rPr>
        <w:t xml:space="preserve">» г.Салавата) МБУ «ЦБС» г.Салавата с 10 филиалами библиотек (из них 2 - модельные); МБУ К и </w:t>
      </w:r>
      <w:proofErr w:type="spellStart"/>
      <w:r w:rsidRPr="008131F3">
        <w:rPr>
          <w:sz w:val="28"/>
          <w:szCs w:val="28"/>
        </w:rPr>
        <w:t>И</w:t>
      </w:r>
      <w:proofErr w:type="spellEnd"/>
      <w:r w:rsidRPr="008131F3">
        <w:rPr>
          <w:sz w:val="28"/>
          <w:szCs w:val="28"/>
        </w:rPr>
        <w:t xml:space="preserve"> «Наследие» г.Салавата (в структурное подразделение которого входят: Историко-краеведческий музей, Картинная галерея, Мемориальный комплекс «Земля </w:t>
      </w:r>
      <w:proofErr w:type="spellStart"/>
      <w:r w:rsidRPr="008131F3">
        <w:rPr>
          <w:sz w:val="28"/>
          <w:szCs w:val="28"/>
        </w:rPr>
        <w:t>Юрматы</w:t>
      </w:r>
      <w:proofErr w:type="spellEnd"/>
      <w:r w:rsidRPr="008131F3">
        <w:rPr>
          <w:sz w:val="28"/>
          <w:szCs w:val="28"/>
        </w:rPr>
        <w:t xml:space="preserve">»). 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  <w:lang w:val="be-BY"/>
        </w:rPr>
      </w:pPr>
      <w:r w:rsidRPr="008131F3">
        <w:rPr>
          <w:sz w:val="28"/>
          <w:szCs w:val="28"/>
          <w:lang w:val="be-BY"/>
        </w:rPr>
        <w:t xml:space="preserve">Известно, что народное творчество является основой каждой национальной культуры, ее профессионального искусства, хранителем национального самосознания. 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  <w:lang w:val="be-BY"/>
        </w:rPr>
      </w:pPr>
      <w:r w:rsidRPr="008131F3">
        <w:rPr>
          <w:sz w:val="28"/>
          <w:szCs w:val="28"/>
        </w:rPr>
        <w:t>В городе действуют 79 творческих коллективов, объединений и кружков,</w:t>
      </w:r>
      <w:r w:rsidRPr="008131F3">
        <w:rPr>
          <w:color w:val="000000"/>
          <w:sz w:val="28"/>
          <w:szCs w:val="28"/>
        </w:rPr>
        <w:t xml:space="preserve"> </w:t>
      </w:r>
      <w:r w:rsidRPr="008131F3">
        <w:rPr>
          <w:rStyle w:val="apple-style-span"/>
          <w:color w:val="000000"/>
          <w:sz w:val="28"/>
          <w:szCs w:val="28"/>
        </w:rPr>
        <w:t>показателем творческой активности и исполнительского мастерства является присвоение званий «народный» и «образцовый»</w:t>
      </w:r>
      <w:r w:rsidRPr="008131F3">
        <w:rPr>
          <w:sz w:val="28"/>
          <w:szCs w:val="28"/>
        </w:rPr>
        <w:t xml:space="preserve"> 29 коллективам (татарский народный коллектив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>»</w:t>
      </w:r>
      <w:r w:rsidRPr="008131F3">
        <w:rPr>
          <w:sz w:val="28"/>
          <w:szCs w:val="28"/>
        </w:rPr>
        <w:t>, башкирский народный фольклорный ансамбль «</w:t>
      </w:r>
      <w:proofErr w:type="spellStart"/>
      <w:r w:rsidRPr="008131F3">
        <w:rPr>
          <w:sz w:val="28"/>
          <w:szCs w:val="28"/>
        </w:rPr>
        <w:t>Былбылдар</w:t>
      </w:r>
      <w:proofErr w:type="spellEnd"/>
      <w:r w:rsidRPr="008131F3">
        <w:rPr>
          <w:sz w:val="28"/>
          <w:szCs w:val="28"/>
        </w:rPr>
        <w:t xml:space="preserve">», чувашский народный коллектив «Родники </w:t>
      </w:r>
      <w:proofErr w:type="spellStart"/>
      <w:r w:rsidRPr="008131F3">
        <w:rPr>
          <w:sz w:val="28"/>
          <w:szCs w:val="28"/>
        </w:rPr>
        <w:t>Агидели</w:t>
      </w:r>
      <w:proofErr w:type="spellEnd"/>
      <w:r w:rsidRPr="008131F3">
        <w:rPr>
          <w:sz w:val="28"/>
          <w:szCs w:val="28"/>
        </w:rPr>
        <w:t>» и т.д.).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На базе центральной городской библиотеки проведены конференция, круглый стол по проблемам развития народного творчества и образования. Проводятся городские конкурсы, олимпиады на знание языков, обычаев народов, проживающих в городском округе. В центральной городской библиотеке и филиалах городского округа созданы уголки, стенды по истории и культуре народов Башкортостана, проводятся конкурсы, краеведческие викторины, чтения, посвященные выдающимся деятелям Башкортостана. </w:t>
      </w:r>
    </w:p>
    <w:p w:rsidR="0041484E" w:rsidRPr="008131F3" w:rsidRDefault="0041484E" w:rsidP="0041484E">
      <w:pPr>
        <w:ind w:firstLine="708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Библиотеки работают в тесном контакте со школами, местными писателями, культурными национальными объединениями башкир, татар, чувашей, украинцев, учебными заведениями, Дворцами культуры. Мероприятия проходят на русском, башкирском языках и на языках других народов, принимающих участие в мероприятии. </w:t>
      </w:r>
    </w:p>
    <w:p w:rsidR="0041484E" w:rsidRPr="008131F3" w:rsidRDefault="0041484E" w:rsidP="0041484E">
      <w:pPr>
        <w:ind w:firstLine="900"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Для удовлетворения запросов всех этнических групп населения работают краеведческий филиал № 4, библиотека-филиал №9 «Созвездие народов», которые комплектуются соответствующей литературой и периодическими изданиями.</w:t>
      </w:r>
    </w:p>
    <w:p w:rsidR="0041484E" w:rsidRPr="008131F3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В учреждениях культуры городского округа регулярно проводятся праздники и дни национальных культур, фестивали и конкурсы с обязательным включением в программы выступления на родных языках, выставки – ярмарки национальных ремесел и промыслов самодеятельных авторов. На праздниках национальных культур, проводимых в КДЦ «</w:t>
      </w:r>
      <w:proofErr w:type="spellStart"/>
      <w:r w:rsidRPr="008131F3">
        <w:rPr>
          <w:sz w:val="28"/>
          <w:szCs w:val="28"/>
        </w:rPr>
        <w:t>Агидель</w:t>
      </w:r>
      <w:proofErr w:type="spellEnd"/>
      <w:r w:rsidRPr="008131F3">
        <w:rPr>
          <w:sz w:val="28"/>
          <w:szCs w:val="28"/>
        </w:rPr>
        <w:t xml:space="preserve">», проводятся ярмарки народного творчества и народных ремесел, башкирские гостиные с разнообразной тематикой. Наглядное оформление и ведение мероприятий, по возможности, осуществляется на языках данной народности. В </w:t>
      </w:r>
      <w:proofErr w:type="spellStart"/>
      <w:r w:rsidRPr="008131F3">
        <w:rPr>
          <w:sz w:val="28"/>
          <w:szCs w:val="28"/>
        </w:rPr>
        <w:t>Салаватском</w:t>
      </w:r>
      <w:proofErr w:type="spellEnd"/>
      <w:r w:rsidRPr="008131F3">
        <w:rPr>
          <w:sz w:val="28"/>
          <w:szCs w:val="28"/>
        </w:rPr>
        <w:t xml:space="preserve"> историко-краеведческом музее и Краеведческой библиотеке, библиотеке-филиале №9 «Созвездие народов», библиотеке-филиале №10 «Русская изба» представлены этнографические выставки народов Башкортостана.</w:t>
      </w:r>
    </w:p>
    <w:p w:rsidR="0041484E" w:rsidRPr="00C545E6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color w:val="000000"/>
          <w:sz w:val="28"/>
          <w:szCs w:val="28"/>
        </w:rPr>
        <w:lastRenderedPageBreak/>
        <w:t>Традиционными для Салавата стали такие мероприятия, как: массовые народные гулянья – Сабантуй, Масленица, дни национальных культур, городской конкурс «</w:t>
      </w:r>
      <w:r w:rsidRPr="008131F3">
        <w:rPr>
          <w:color w:val="000000"/>
          <w:sz w:val="28"/>
          <w:szCs w:val="28"/>
          <w:lang w:val="ba-RU"/>
        </w:rPr>
        <w:t>Һылыуҡай</w:t>
      </w:r>
      <w:r>
        <w:rPr>
          <w:color w:val="000000"/>
          <w:sz w:val="28"/>
          <w:szCs w:val="28"/>
        </w:rPr>
        <w:t xml:space="preserve">», прошло празднование Годовщины принятия Декларации о Государственном суверенитете Республики Башкортостан. В июле Салават принимал </w:t>
      </w:r>
      <w:r w:rsidRPr="00C545E6">
        <w:rPr>
          <w:color w:val="000000"/>
          <w:sz w:val="28"/>
          <w:szCs w:val="28"/>
        </w:rPr>
        <w:t>VI Всемирн</w:t>
      </w:r>
      <w:r>
        <w:rPr>
          <w:color w:val="000000"/>
          <w:sz w:val="28"/>
          <w:szCs w:val="28"/>
        </w:rPr>
        <w:t>ую</w:t>
      </w:r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Фольклориад</w:t>
      </w:r>
      <w:r>
        <w:rPr>
          <w:color w:val="000000"/>
          <w:sz w:val="28"/>
          <w:szCs w:val="28"/>
        </w:rPr>
        <w:t>у</w:t>
      </w:r>
      <w:proofErr w:type="spellEnd"/>
      <w:r w:rsidRPr="00C545E6">
        <w:rPr>
          <w:color w:val="000000"/>
          <w:sz w:val="28"/>
          <w:szCs w:val="28"/>
        </w:rPr>
        <w:t xml:space="preserve"> CIOFF</w:t>
      </w:r>
      <w:r>
        <w:rPr>
          <w:color w:val="000000"/>
          <w:sz w:val="28"/>
          <w:szCs w:val="28"/>
        </w:rPr>
        <w:t>.</w:t>
      </w:r>
      <w:r w:rsidRPr="00C545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Впервые город принял литературный марафон </w:t>
      </w:r>
      <w:r w:rsidRPr="00C545E6">
        <w:rPr>
          <w:color w:val="000000"/>
          <w:sz w:val="28"/>
          <w:szCs w:val="28"/>
        </w:rPr>
        <w:t>«</w:t>
      </w:r>
      <w:proofErr w:type="spellStart"/>
      <w:r w:rsidRPr="00C545E6">
        <w:rPr>
          <w:color w:val="000000"/>
          <w:sz w:val="28"/>
          <w:szCs w:val="28"/>
        </w:rPr>
        <w:t>Тарих</w:t>
      </w:r>
      <w:proofErr w:type="spellEnd"/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яҙыр</w:t>
      </w:r>
      <w:proofErr w:type="spellEnd"/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инем</w:t>
      </w:r>
      <w:proofErr w:type="spellEnd"/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ташына</w:t>
      </w:r>
      <w:proofErr w:type="spellEnd"/>
      <w:r w:rsidRPr="00C545E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C545E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18-19 ноября запланирован</w:t>
      </w:r>
      <w:r w:rsidRPr="008131F3">
        <w:rPr>
          <w:sz w:val="28"/>
          <w:szCs w:val="28"/>
        </w:rPr>
        <w:t xml:space="preserve"> </w:t>
      </w:r>
      <w:r w:rsidRPr="008131F3">
        <w:rPr>
          <w:sz w:val="28"/>
          <w:szCs w:val="28"/>
          <w:lang w:val="ba-RU"/>
        </w:rPr>
        <w:t xml:space="preserve">Республиканский конкурс эстрадно-разговорного жанра “Художественное слово”. </w:t>
      </w:r>
      <w:r w:rsidRPr="008131F3">
        <w:rPr>
          <w:sz w:val="28"/>
          <w:szCs w:val="28"/>
        </w:rPr>
        <w:t>Лучшие самодеятельные коллективы представляют республику на различных всесоюзных и всероссийских фестивалях. Творческие коллективы активно принимают участие в межрегиональных и республиканских мероприя</w:t>
      </w:r>
      <w:r>
        <w:rPr>
          <w:sz w:val="28"/>
          <w:szCs w:val="28"/>
        </w:rPr>
        <w:t xml:space="preserve">тиях, завоевывая призовые места (Республиканские форумы ткачества, фестиваль «В гостях у </w:t>
      </w:r>
      <w:proofErr w:type="spellStart"/>
      <w:r>
        <w:rPr>
          <w:sz w:val="28"/>
          <w:szCs w:val="28"/>
        </w:rPr>
        <w:t>Акбузата</w:t>
      </w:r>
      <w:proofErr w:type="spellEnd"/>
      <w:r>
        <w:rPr>
          <w:sz w:val="28"/>
          <w:szCs w:val="28"/>
        </w:rPr>
        <w:t>», Межрегиональный конкурс башкирского войлока «</w:t>
      </w:r>
      <w:r>
        <w:rPr>
          <w:sz w:val="28"/>
          <w:szCs w:val="28"/>
          <w:lang w:val="ba-RU"/>
        </w:rPr>
        <w:t>Сибай кейеҙе</w:t>
      </w:r>
      <w:r>
        <w:rPr>
          <w:sz w:val="28"/>
          <w:szCs w:val="28"/>
        </w:rPr>
        <w:t>»</w:t>
      </w:r>
      <w:r>
        <w:rPr>
          <w:sz w:val="28"/>
          <w:szCs w:val="28"/>
          <w:lang w:val="ba-RU"/>
        </w:rPr>
        <w:t xml:space="preserve">, Республиканский фестиваль славянской культуры </w:t>
      </w:r>
      <w:r>
        <w:rPr>
          <w:sz w:val="28"/>
          <w:szCs w:val="28"/>
        </w:rPr>
        <w:t xml:space="preserve">«Славяне </w:t>
      </w:r>
      <w:r>
        <w:rPr>
          <w:sz w:val="28"/>
          <w:szCs w:val="28"/>
          <w:lang w:val="en-US"/>
        </w:rPr>
        <w:t>XXI</w:t>
      </w:r>
      <w:r w:rsidRPr="00C545E6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>века</w:t>
      </w:r>
      <w:r>
        <w:rPr>
          <w:sz w:val="28"/>
          <w:szCs w:val="28"/>
        </w:rPr>
        <w:t>»</w:t>
      </w:r>
      <w:r>
        <w:rPr>
          <w:sz w:val="28"/>
          <w:szCs w:val="28"/>
          <w:lang w:val="ba-RU"/>
        </w:rPr>
        <w:t xml:space="preserve">, </w:t>
      </w:r>
      <w:r>
        <w:rPr>
          <w:sz w:val="28"/>
          <w:szCs w:val="28"/>
          <w:lang w:val="en-US"/>
        </w:rPr>
        <w:t>XX</w:t>
      </w:r>
      <w:r w:rsidRPr="00C545E6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Республиканский праздник курая, Телевизионный фестиваль </w:t>
      </w:r>
      <w:r>
        <w:rPr>
          <w:sz w:val="28"/>
          <w:szCs w:val="28"/>
        </w:rPr>
        <w:t>«</w:t>
      </w:r>
      <w:r>
        <w:rPr>
          <w:sz w:val="28"/>
          <w:szCs w:val="28"/>
          <w:lang w:val="ba-RU"/>
        </w:rPr>
        <w:t>Сэлэт</w:t>
      </w:r>
      <w:r>
        <w:rPr>
          <w:sz w:val="28"/>
          <w:szCs w:val="28"/>
        </w:rPr>
        <w:t>»).</w:t>
      </w: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Традиционные формы духовности и этнической культуры народов </w:t>
      </w:r>
      <w:r w:rsidRPr="008131F3">
        <w:rPr>
          <w:bCs/>
          <w:sz w:val="28"/>
          <w:szCs w:val="28"/>
        </w:rPr>
        <w:t xml:space="preserve">Башкортостана являются основой общероссийской идентичности, </w:t>
      </w:r>
      <w:r w:rsidRPr="008131F3">
        <w:rPr>
          <w:sz w:val="28"/>
          <w:szCs w:val="28"/>
        </w:rPr>
        <w:t xml:space="preserve">поэтому укрепление единства российской нации, обеспечение динамичного этнокультурного и духовного развития народов, </w:t>
      </w:r>
      <w:r w:rsidRPr="008131F3">
        <w:rPr>
          <w:bCs/>
          <w:sz w:val="28"/>
          <w:szCs w:val="28"/>
        </w:rPr>
        <w:t>противодействие этнополитическому и религиозно-политическому экстремизму являются важными факторами дальнейшего устойчивого развития Республики Башкортостан.</w:t>
      </w: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131F3">
        <w:rPr>
          <w:sz w:val="28"/>
          <w:szCs w:val="28"/>
        </w:rPr>
        <w:t xml:space="preserve">Мероприятия подпрограммы предлагается осуществлять путем </w:t>
      </w:r>
      <w:r w:rsidRPr="008131F3">
        <w:rPr>
          <w:bCs/>
          <w:sz w:val="28"/>
          <w:szCs w:val="28"/>
        </w:rPr>
        <w:t>реализации информационных, образовательных, языковых, культурных проектов и инициатив, включая проведение комплексной информационной кампании по укреплению общегражданской идентичности и национального общения.</w:t>
      </w:r>
    </w:p>
    <w:p w:rsidR="0041484E" w:rsidRDefault="0041484E" w:rsidP="0041484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 w:rsidRPr="004F6163">
        <w:rPr>
          <w:bCs/>
          <w:sz w:val="28"/>
          <w:szCs w:val="28"/>
        </w:rPr>
        <w:t>«Укрепление единства российской нации и этнокультурное развитие народов, проживающих в городском округе город Салават Республики Башкортостан»</w:t>
      </w:r>
      <w:r>
        <w:rPr>
          <w:bCs/>
          <w:sz w:val="28"/>
          <w:szCs w:val="28"/>
        </w:rPr>
        <w:t xml:space="preserve"> реализуется на территории городского округа город Салават Республики Башкортостан с 2017 года. Утверждена постановлением Администрации городского округа город Салават Республики Башкортостан №1826-п от 09.06.2021г., с изм. №328-п от 12.02.2019г., №1054-п от 04.06.2021г. </w:t>
      </w:r>
    </w:p>
    <w:tbl>
      <w:tblPr>
        <w:tblW w:w="4760" w:type="pct"/>
        <w:tblLook w:val="01E0" w:firstRow="1" w:lastRow="1" w:firstColumn="1" w:lastColumn="1" w:noHBand="0" w:noVBand="0"/>
      </w:tblPr>
      <w:tblGrid>
        <w:gridCol w:w="2276"/>
        <w:gridCol w:w="6630"/>
      </w:tblGrid>
      <w:tr w:rsidR="0041484E" w:rsidRPr="008131F3" w:rsidTr="0082606B">
        <w:trPr>
          <w:trHeight w:val="20"/>
        </w:trPr>
        <w:tc>
          <w:tcPr>
            <w:tcW w:w="1278" w:type="pct"/>
          </w:tcPr>
          <w:p w:rsidR="0041484E" w:rsidRPr="008131F3" w:rsidRDefault="0041484E" w:rsidP="0082606B">
            <w:pPr>
              <w:widowControl w:val="0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Цель и задачи муниципальной программы 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Цель: 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укрепить общероссийское гражданское самосознание, единство и духовную общность многонационального народа, проживающего в городском округе город Салават Республики Башкортостан. 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Задачи: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укрепить гражданское единство и обеспечить гармонизацию межнациональных отношений;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lastRenderedPageBreak/>
              <w:t>сохранить многообразие культуры и языка народов, проживающих в городском округе город Салават Республики Башкортостан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</w:p>
        </w:tc>
      </w:tr>
      <w:tr w:rsidR="0041484E" w:rsidRPr="008131F3" w:rsidTr="0082606B">
        <w:trPr>
          <w:trHeight w:val="20"/>
        </w:trPr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  <w:p w:rsidR="0041484E" w:rsidRPr="008131F3" w:rsidRDefault="0041484E" w:rsidP="0082606B">
            <w:pPr>
              <w:rPr>
                <w:sz w:val="28"/>
                <w:szCs w:val="28"/>
              </w:rPr>
            </w:pPr>
          </w:p>
          <w:p w:rsidR="0041484E" w:rsidRPr="008131F3" w:rsidRDefault="0041484E" w:rsidP="0082606B">
            <w:pPr>
              <w:rPr>
                <w:sz w:val="28"/>
                <w:szCs w:val="28"/>
              </w:rPr>
            </w:pPr>
          </w:p>
        </w:tc>
        <w:tc>
          <w:tcPr>
            <w:tcW w:w="3722" w:type="pct"/>
          </w:tcPr>
          <w:p w:rsidR="0041484E" w:rsidRPr="008131F3" w:rsidRDefault="0041484E" w:rsidP="00826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2017-2022 гг., без деления на этапы.</w:t>
            </w:r>
          </w:p>
          <w:p w:rsidR="0041484E" w:rsidRPr="008131F3" w:rsidRDefault="0041484E" w:rsidP="00826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484E" w:rsidRPr="008131F3" w:rsidTr="0082606B">
        <w:trPr>
          <w:trHeight w:val="20"/>
        </w:trPr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- «Укрепление гражданского единства и гармонизация межнациональных отношений»;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 - «Сохранение этнокультурного многообразия народов, проживающих в городском округе город Салават Республики Башкортостан».</w:t>
            </w:r>
          </w:p>
          <w:p w:rsidR="0041484E" w:rsidRPr="008131F3" w:rsidRDefault="0041484E" w:rsidP="0082606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1484E" w:rsidRPr="008131F3" w:rsidRDefault="0041484E" w:rsidP="00826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484E" w:rsidRPr="008131F3" w:rsidTr="0082606B"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Важнейшие целевые индикаторы и показатели муниципальной программы 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- доля населения городского округа город Салават Республики Башкортостан, положительно оценивающего состояние межнациональных отношений в городском округе город Салават Республики Башкортостан, в общем количестве населения городского округа, %;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-уровень удовлетворенности башкирского населения развитием культуры, языка, истории башкирского этноса в общем количестве опрошенного башкирского населения, %;</w:t>
            </w:r>
          </w:p>
          <w:p w:rsidR="0041484E" w:rsidRPr="008131F3" w:rsidRDefault="0041484E" w:rsidP="008260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1F3">
              <w:rPr>
                <w:rFonts w:ascii="Times New Roman" w:hAnsi="Times New Roman" w:cs="Times New Roman"/>
                <w:sz w:val="28"/>
                <w:szCs w:val="28"/>
              </w:rPr>
              <w:t>-уровень толерантного отношения жителей к представителям другой национальности.</w:t>
            </w:r>
          </w:p>
          <w:p w:rsidR="0041484E" w:rsidRPr="008131F3" w:rsidRDefault="0041484E" w:rsidP="008260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4E" w:rsidRPr="008131F3" w:rsidTr="0082606B"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Финансирование программы будет осуществляться за счет средств бюджета городского округа и за счет средств исполнителей. Общий объем финансового обеспечения муниципальной программы в 2017-2022 годах составит 340,0 тыс. рублей, в том числе за счет средств: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а) местного бюджета - 340,0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, из них по годам: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2017 год – 0,0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2018 год – 80,0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2019 год – 81,0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2020 год – 53,0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2021 год – 63,0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2022 год – 63,0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.</w:t>
            </w:r>
          </w:p>
          <w:p w:rsidR="0041484E" w:rsidRPr="008131F3" w:rsidRDefault="0041484E" w:rsidP="008260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84E" w:rsidRDefault="0041484E" w:rsidP="004148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в рамках программы было запланировано и освоено финансирование в размере 63,0 тыс. рублей на проведение годовщины принятия Декларации о Государственном суверенитете Республики Башкортостан. Средства направлены на услуги по организации и проведению мероприятия.</w:t>
      </w:r>
    </w:p>
    <w:p w:rsidR="0041484E" w:rsidRDefault="0041484E" w:rsidP="0041484E">
      <w:pPr>
        <w:jc w:val="center"/>
        <w:rPr>
          <w:sz w:val="28"/>
          <w:szCs w:val="28"/>
        </w:rPr>
      </w:pPr>
    </w:p>
    <w:p w:rsidR="0041484E" w:rsidRDefault="0041484E" w:rsidP="0041484E">
      <w:pPr>
        <w:jc w:val="center"/>
        <w:rPr>
          <w:sz w:val="28"/>
          <w:szCs w:val="28"/>
        </w:rPr>
      </w:pPr>
    </w:p>
    <w:p w:rsidR="0041484E" w:rsidRDefault="0041484E" w:rsidP="0041484E">
      <w:pPr>
        <w:jc w:val="center"/>
        <w:rPr>
          <w:sz w:val="28"/>
          <w:szCs w:val="28"/>
        </w:rPr>
      </w:pPr>
      <w:bookmarkStart w:id="0" w:name="_GoBack"/>
      <w:bookmarkEnd w:id="0"/>
    </w:p>
    <w:sectPr w:rsidR="0041484E" w:rsidSect="0041484E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A9" w:rsidRDefault="00EF2DA9" w:rsidP="0041484E">
      <w:r>
        <w:separator/>
      </w:r>
    </w:p>
  </w:endnote>
  <w:endnote w:type="continuationSeparator" w:id="0">
    <w:p w:rsidR="00EF2DA9" w:rsidRDefault="00EF2DA9" w:rsidP="0041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95346"/>
      <w:docPartObj>
        <w:docPartGallery w:val="Page Numbers (Bottom of Page)"/>
        <w:docPartUnique/>
      </w:docPartObj>
    </w:sdtPr>
    <w:sdtEndPr/>
    <w:sdtContent>
      <w:p w:rsidR="0041484E" w:rsidRDefault="004148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83A">
          <w:rPr>
            <w:noProof/>
          </w:rPr>
          <w:t>6</w:t>
        </w:r>
        <w:r>
          <w:fldChar w:fldCharType="end"/>
        </w:r>
      </w:p>
    </w:sdtContent>
  </w:sdt>
  <w:p w:rsidR="0041484E" w:rsidRDefault="004148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A9" w:rsidRDefault="00EF2DA9" w:rsidP="0041484E">
      <w:r>
        <w:separator/>
      </w:r>
    </w:p>
  </w:footnote>
  <w:footnote w:type="continuationSeparator" w:id="0">
    <w:p w:rsidR="00EF2DA9" w:rsidRDefault="00EF2DA9" w:rsidP="0041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2"/>
    <w:rsid w:val="002A73E6"/>
    <w:rsid w:val="0041484E"/>
    <w:rsid w:val="008F0E27"/>
    <w:rsid w:val="00AD183A"/>
    <w:rsid w:val="00C50662"/>
    <w:rsid w:val="00D016EB"/>
    <w:rsid w:val="00E70A58"/>
    <w:rsid w:val="00E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1F144-8440-49DA-A791-38BCE9F0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484E"/>
    <w:rPr>
      <w:i/>
      <w:iCs/>
    </w:rPr>
  </w:style>
  <w:style w:type="character" w:customStyle="1" w:styleId="apple-style-span">
    <w:name w:val="apple-style-span"/>
    <w:basedOn w:val="a0"/>
    <w:rsid w:val="0041484E"/>
  </w:style>
  <w:style w:type="table" w:styleId="a4">
    <w:name w:val="Table Grid"/>
    <w:basedOn w:val="a1"/>
    <w:uiPriority w:val="39"/>
    <w:rsid w:val="0041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4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8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18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2021-10-14T04:09:00Z</cp:lastPrinted>
  <dcterms:created xsi:type="dcterms:W3CDTF">2021-10-12T10:06:00Z</dcterms:created>
  <dcterms:modified xsi:type="dcterms:W3CDTF">2021-10-14T04:09:00Z</dcterms:modified>
</cp:coreProperties>
</file>